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Das neue ausziehbare Gurtband-Absperrsystem von SETON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5038725</wp:posOffset>
                </wp:positionH>
                <wp:positionV relativeFrom="paragraph">
                  <wp:posOffset>140875</wp:posOffset>
                </wp:positionV>
                <wp:extent cx="996917" cy="7027850"/>
                <wp:effectExtent b="0" l="0" r="0" t="0"/>
                <wp:wrapNone/>
                <wp:docPr id="1" name=""/>
                <a:graphic>
                  <a:graphicData uri="http://schemas.microsoft.com/office/word/2010/wordprocessingShape">
                    <wps:wsp>
                      <wps:cNvSpPr/>
                      <wps:cNvPr id="2" name="Shape 2"/>
                      <wps:spPr>
                        <a:xfrm>
                          <a:off x="4774500" y="0"/>
                          <a:ext cx="11430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c0c0c0"/>
                                <w:sz w:val="136"/>
                                <w:vertAlign w:val="baseline"/>
                              </w:rPr>
                              <w:t xml:space="preserve">PRESSEMELDUNG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c0c0c0"/>
                                <w:sz w:val="1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5038725</wp:posOffset>
                </wp:positionH>
                <wp:positionV relativeFrom="paragraph">
                  <wp:posOffset>140875</wp:posOffset>
                </wp:positionV>
                <wp:extent cx="996917" cy="70278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96917" cy="702785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Unter dem Namen </w:t>
      </w:r>
      <w:r w:rsidDel="00000000" w:rsidR="00000000" w:rsidRPr="00000000">
        <w:rPr>
          <w:rFonts w:ascii="Arial" w:cs="Arial" w:eastAsia="Arial" w:hAnsi="Arial"/>
          <w:sz w:val="22"/>
          <w:szCs w:val="22"/>
          <w:rtl w:val="0"/>
        </w:rPr>
        <w:t xml:space="preserve">SETON EasyExtend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wurde ein neues mobiles Gurtband-Absperrsystem auf den Markt gebracht, das einzigartige Eigenschaften und Vorteile für den Einsatz in Innen- und Außenbereichen bietet.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neuartige und äußerst robuste Absperrsystem wurde von SETON - dem Anbieter für Sicherheit und Kennzeichnungslösungen am Arbeitsplatz - 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ür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Absperrung von Bereichen in Lagerhäusern, Fabriken, Vertriebszentren und Baustellen konzipiert.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Gurtband ist bis zu 10 Meter stufenlos ausziehbar - weiter als bei den meisten anderen Gurtband-Absperrungen auf dem Markt. Ein spezielles Baukastensystem ermöglicht die Verwendung der Gurtbandkassette mit Gurtpfosten, handelsüblichen Verkehrs-Leitkegeln sowie die Befestigung an Wänden oder magnetischen Oberflächen.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Gurtpfosten kann in Einzelteile zerlegt und im Sockel verstaut werden. So lässt er sich platzsparend auf kleinem Raum stapeln, leicht transportieren und bei Bedarf schnell aufbauen.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SETON EasyExtend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kann auf drei verschiedene Arten verwendet werden. Die modularen Pfosten mit Sockel können mit einem oder zwei Absperrbändern verwendet werden, wenn eine imposantere Barriere errichtet werden soll.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Nach dem Aufstellen sorgt ein im Sockel integriertes Gewicht für Standfestigkeit. Für zusätzliche Stabilität bei schlechtem Wetter oder auf unebenem Untergrund kann der Sockel zusätzlich mit bis zu 12 Litern Wasser oder Sand befüllt werden.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Leitkegel-Adapter ermöglicht die Befestigung der Gurtbandkassette auf einem Standard-Verkehrskegel. So können bei Bedarf Kegel anstelle von Pfosten zur Absperrung verwendet werden, z.B. um große Fahrzeuge herum.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Außerdem kann das Gurtband auch zur Absperrung zwischen zwei Objekten oder Wänden verwendet werden, ohne dass Pfosten dafür benötigt werden. Ein spezieller </w:t>
      </w:r>
      <w:r w:rsidDel="00000000" w:rsidR="00000000" w:rsidRPr="00000000">
        <w:rPr>
          <w:rFonts w:ascii="Arial" w:cs="Arial" w:eastAsia="Arial" w:hAnsi="Arial"/>
          <w:sz w:val="22"/>
          <w:szCs w:val="22"/>
          <w:rtl w:val="0"/>
        </w:rPr>
        <w:t xml:space="preserve">SETON EasyExtend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Wandhalter ermöglicht die Befestigung der Gurtbandkassette, während das Gurtbandende im Wandclip arretiert wird. Wandhalter- und -clip gibt es zum Verschrauben und als magnetische Ausführung zur temporären Befestigung an Regalen oder Transportfahrzeugen.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Baukastensystem ermöglicht mit einem einzigen Set vielseitige Absperrungen an verschiedenen Orten, ohne dass ein Unternehmen mehrere Versionen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desselben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Produktes anschaffen muss. </w:t>
      </w:r>
      <w:r w:rsidDel="00000000" w:rsidR="00000000" w:rsidRPr="00000000">
        <w:rPr>
          <w:rFonts w:ascii="Arial" w:cs="Arial" w:eastAsia="Arial" w:hAnsi="Arial"/>
          <w:sz w:val="22"/>
          <w:szCs w:val="22"/>
          <w:rtl w:val="0"/>
        </w:rPr>
        <w:t xml:space="preserve">SETON EasyExtend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ist mit 2 Gurtbandfarben erhältlich: rot/weiß und schwarz/gelb.</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 Hinton, Product Innovation Manager bei SETON, sagt: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"Wir haben eine starke und stabile Barriere entwickelt, die das Problem umgeht, dass viele Einrichtungen mehrere Versionen desselben Produkts kaufen müssen.“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marktführende Länge von 10 Metern und das einzigartige modulare Design von </w:t>
      </w:r>
      <w:r w:rsidDel="00000000" w:rsidR="00000000" w:rsidRPr="00000000">
        <w:rPr>
          <w:rFonts w:ascii="Arial" w:cs="Arial" w:eastAsia="Arial" w:hAnsi="Arial"/>
          <w:sz w:val="22"/>
          <w:szCs w:val="22"/>
          <w:rtl w:val="0"/>
        </w:rPr>
        <w:t xml:space="preserve">SETON EasyExtend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bedeuten nicht nur, dass es schnell und einfach zu transportieren und zu lagern ist, sondern auch, dass es in einer Vielzahl von Umgebungen eingesetzt werden kann. Von Gurtband-Absperrungen mit Pfosten oder Leitkegeln bis hin zu Wänden - seine Vielseitigkeit ist für Unternehmen äußerst vorteilhaft.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Tatsache, dass die Absperrpfosten zerlegbar sind und leicht in den Sockel passen, was bei keinem anderen Produkt auf dem Markt möglich ist, bedeutet, dass sie gestapelt und in Regalen oder ordentlich im Kofferraum eines Transporters gelagert werden können.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bedeutet auch, dass sie viel schneller und sicherer an einen Ort gebracht werden können, um einen bestimmten Bereich abzusperren, was bei einer plötzlichen oder vorübergehenden Gefahr den entscheidenden Unterschied ausmachen kann.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Weitere Informationen über das ausziehbare </w:t>
      </w:r>
      <w:r w:rsidDel="00000000" w:rsidR="00000000" w:rsidRPr="00000000">
        <w:rPr>
          <w:rFonts w:ascii="Arial" w:cs="Arial" w:eastAsia="Arial" w:hAnsi="Arial"/>
          <w:sz w:val="22"/>
          <w:szCs w:val="22"/>
          <w:rtl w:val="0"/>
        </w:rPr>
        <w:t xml:space="preserve">SETON EasyExtend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Absperrsystem von SETON finden Sie unter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www.seton.de/easyextend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www.seton.at/easyextend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www.seton.ch/easyextend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Prisca Rippert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Marketing Communications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Manager DACH),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+49 61 03 / 75 98 - 823, Fax: +49 61 03 / 75 98 - 844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presse@seton.de</w:t>
      </w:r>
    </w:p>
    <w:sectPr>
      <w:headerReference r:id="rId8" w:type="default"/>
      <w:footerReference r:id="rId9" w:type="default"/>
      <w:pgSz w:h="16838" w:w="11906" w:orient="portrait"/>
      <w:pgMar w:bottom="1418" w:top="1304" w:left="1304" w:right="2552" w:header="720" w:footer="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tl w:val="0"/>
      </w:rPr>
    </w:r>
  </w:p>
  <w:tbl>
    <w:tblPr>
      <w:tblStyle w:val="Table1"/>
      <w:tblW w:w="9183.0" w:type="dxa"/>
      <w:jc w:val="left"/>
      <w:tblInd w:w="0.0" w:type="pct"/>
      <w:tblLayout w:type="fixed"/>
      <w:tblLook w:val="0000"/>
    </w:tblPr>
    <w:tblGrid>
      <w:gridCol w:w="2520"/>
      <w:gridCol w:w="2520"/>
      <w:gridCol w:w="2520"/>
      <w:gridCol w:w="1623"/>
      <w:tblGridChange w:id="0">
        <w:tblGrid>
          <w:gridCol w:w="2520"/>
          <w:gridCol w:w="2520"/>
          <w:gridCol w:w="2520"/>
          <w:gridCol w:w="1623"/>
        </w:tblGrid>
      </w:tblGridChange>
    </w:tblGrid>
    <w:tr>
      <w:trPr>
        <w:cantSplit w:val="1"/>
        <w:trHeight w:val="110" w:hRule="atLeast"/>
        <w:tblHeader w:val="0"/>
      </w:trPr>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BRADY GmbH </w:t>
          </w:r>
          <w:r w:rsidDel="00000000" w:rsidR="00000000" w:rsidRPr="00000000">
            <w:rPr>
              <w:rFonts w:ascii="Symbol" w:cs="Symbol" w:eastAsia="Symbol" w:hAnsi="Symbol"/>
              <w:b w:val="1"/>
              <w:i w:val="0"/>
              <w:smallCaps w:val="0"/>
              <w:strike w:val="0"/>
              <w:color w:val="000000"/>
              <w:sz w:val="12"/>
              <w:szCs w:val="1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 SETON</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Division</w:t>
            <w:br w:type="textWrapping"/>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Brady-Straße 1 </w:t>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D-63329 Egelsbach</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br w:type="textWrapping"/>
            <w:t xml:space="preserve">Tel. 06103 / 7598-0 </w:t>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Fax 06103 / 7598-49 </w:t>
            <w:br w:type="textWrapping"/>
            <w:t xml:space="preserve">www.seton.de </w:t>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info@seton.de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Bank of America N.A., Frankfurt</w:t>
            <w:br w:type="textWrapping"/>
            <w:t xml:space="preserve">IBAN: DE42 5001 0900 0018 1540 10</w:t>
            <w:br w:type="textWrapping"/>
            <w:t xml:space="preserve">BIC: BOFADEFX</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USt-IdNr. DE 113584213</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BRADY GmbH </w:t>
          </w:r>
          <w:r w:rsidDel="00000000" w:rsidR="00000000" w:rsidRPr="00000000">
            <w:rPr>
              <w:rFonts w:ascii="Symbol" w:cs="Symbol" w:eastAsia="Symbol" w:hAnsi="Symbol"/>
              <w:b w:val="1"/>
              <w:i w:val="0"/>
              <w:smallCaps w:val="0"/>
              <w:strike w:val="0"/>
              <w:color w:val="000000"/>
              <w:sz w:val="12"/>
              <w:szCs w:val="1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 SETON</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Division</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br w:type="textWrapping"/>
            <w:t xml:space="preserve">Auslieferungslager  Thayngen</w:t>
            <w:br w:type="textWrapping"/>
            <w:t xml:space="preserve">Bietingerstrasse 98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CH-8240 Thayngen</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br w:type="textWrapping"/>
            <w:t xml:space="preserve">Tel. 08 00 / 55 23 96 </w:t>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Fax 08 00 / 55 23 95</w:t>
            <w:br w:type="textWrapping"/>
            <w:t xml:space="preserve">www.seton.ch </w:t>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info@seton.ch</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Bank of America N.A., Zürich</w:t>
            <w:br w:type="textWrapping"/>
            <w:t xml:space="preserve">IBAN: CH63 0872 6000 0505 2701 4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BIC: BOFACH2X</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USt-IdNr. CHE-113.857.849</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BRADY GmbH </w:t>
          </w:r>
          <w:r w:rsidDel="00000000" w:rsidR="00000000" w:rsidRPr="00000000">
            <w:rPr>
              <w:rFonts w:ascii="Symbol" w:cs="Symbol" w:eastAsia="Symbol" w:hAnsi="Symbol"/>
              <w:b w:val="1"/>
              <w:i w:val="0"/>
              <w:smallCaps w:val="0"/>
              <w:strike w:val="0"/>
              <w:color w:val="000000"/>
              <w:sz w:val="12"/>
              <w:szCs w:val="1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 SETON</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Division</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br w:type="textWrapping"/>
            <w:t xml:space="preserve">Auslieferungslager Linz </w:t>
            <w:br w:type="textWrapping"/>
            <w:t xml:space="preserve">Prinz-Eugen-Straße 33</w:t>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 .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A-4020 Linz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br w:type="textWrapping"/>
            <w:t xml:space="preserve">Tel. 08 00 / 29 59 88 </w:t>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Fax 08 00 / 29 59 87 </w:t>
            <w:br w:type="textWrapping"/>
            <w:t xml:space="preserve">www.seton.at </w:t>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info@seton.at</w:t>
            <w:br w:type="textWrapping"/>
            <w:t xml:space="preserve">Bank of America N.A., Frankfurt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IBAN: DE42 5001 0900 0018 1540 10</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BIC: BOFADEFX</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USt-IdNr. ATU 37703204</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AG Offenbach </w:t>
            <w:br w:type="textWrapping"/>
            <w:t xml:space="preserve">HRB 32127</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Geschäftsführer:</w:t>
            <w:br w:type="textWrapping"/>
            <w:t xml:space="preserve">Matthias Epp</w:t>
            <w:br w:type="textWrapping"/>
          </w:r>
          <w:r w:rsidDel="00000000" w:rsidR="00000000" w:rsidRPr="00000000">
            <w:rPr>
              <w:rFonts w:ascii="Arial" w:cs="Arial" w:eastAsia="Arial" w:hAnsi="Arial"/>
              <w:sz w:val="12"/>
              <w:szCs w:val="12"/>
              <w:rtl w:val="0"/>
            </w:rPr>
            <w:t xml:space="preserve">Russell</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R. Shaller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Aaron J. Pearce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WEEE-Reg.-Nr.: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DE 60078280</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3795395</wp:posOffset>
          </wp:positionH>
          <wp:positionV relativeFrom="paragraph">
            <wp:posOffset>-189864</wp:posOffset>
          </wp:positionV>
          <wp:extent cx="2400300" cy="466725"/>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400300" cy="466725"/>
                  </a:xfrm>
                  <a:prstGeom prst="rect"/>
                  <a:ln/>
                </pic:spPr>
              </pic:pic>
            </a:graphicData>
          </a:graphic>
        </wp:anchor>
      </w:drawing>
    </w:r>
  </w:p>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139700</wp:posOffset>
              </wp:positionV>
              <wp:extent cx="6242685" cy="63500"/>
              <wp:effectExtent b="0" l="0" r="0" t="0"/>
              <wp:wrapNone/>
              <wp:docPr id="2" name=""/>
              <a:graphic>
                <a:graphicData uri="http://schemas.microsoft.com/office/word/2010/wordprocessingShape">
                  <wps:wsp>
                    <wps:cNvCnPr/>
                    <wps:spPr>
                      <a:xfrm>
                        <a:off x="2224658" y="3780000"/>
                        <a:ext cx="6242685" cy="0"/>
                      </a:xfrm>
                      <a:prstGeom prst="straightConnector1">
                        <a:avLst/>
                      </a:prstGeom>
                      <a:noFill/>
                      <a:ln cap="flat" cmpd="sng" w="63500">
                        <a:solidFill>
                          <a:srgbClr val="96969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139700</wp:posOffset>
              </wp:positionV>
              <wp:extent cx="6242685" cy="635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242685" cy="63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de-DE" w:val="de-DE"/>
    </w:rPr>
  </w:style>
  <w:style w:type="paragraph" w:styleId="Überschrift1">
    <w:name w:val="Überschrift 1"/>
    <w:basedOn w:val="Standard"/>
    <w:next w:val="Standard"/>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color w:val="0000ff"/>
      <w:w w:val="100"/>
      <w:position w:val="-1"/>
      <w:effect w:val="none"/>
      <w:vertAlign w:val="baseline"/>
      <w:cs w:val="0"/>
      <w:em w:val="none"/>
      <w:lang w:bidi="ar-SA" w:eastAsia="de-DE" w:val="de-DE"/>
    </w:rPr>
  </w:style>
  <w:style w:type="paragraph" w:styleId="Überschrift2">
    <w:name w:val="Überschrift 2"/>
    <w:basedOn w:val="Standard"/>
    <w:next w:val="Standard"/>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emboss w:val="1"/>
      <w:color w:val="ffffff"/>
      <w:w w:val="100"/>
      <w:position w:val="-1"/>
      <w:sz w:val="170"/>
      <w:effect w:val="none"/>
      <w:vertAlign w:val="baseline"/>
      <w:cs w:val="0"/>
      <w:em w:val="none"/>
      <w:lang w:bidi="ar-SA" w:eastAsia="de-DE" w:val="de-DE"/>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table" w:styleId="NormaleTabelle">
    <w:name w:val="Normale Tabelle"/>
    <w:next w:val="NormaleTabel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aleTabelle"/>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Kopfzeile">
    <w:name w:val="Kopfzeile"/>
    <w:basedOn w:val="Standard"/>
    <w:next w:val="Kopfzeil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de-DE" w:val="de-DE"/>
    </w:rPr>
  </w:style>
  <w:style w:type="paragraph" w:styleId="Fußzeile">
    <w:name w:val="Fußzeile"/>
    <w:basedOn w:val="Standard"/>
    <w:next w:val="Fußzeil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de-DE" w:val="de-DE"/>
    </w:rPr>
  </w:style>
  <w:style w:type="character" w:styleId="BesuchterHyperlink">
    <w:name w:val="BesuchterHyperlink"/>
    <w:next w:val="BesuchterHyperlink"/>
    <w:autoRedefine w:val="0"/>
    <w:hidden w:val="0"/>
    <w:qFormat w:val="0"/>
    <w:rPr>
      <w:color w:val="800080"/>
      <w:w w:val="100"/>
      <w:position w:val="-1"/>
      <w:u w:val="single"/>
      <w:effect w:val="none"/>
      <w:vertAlign w:val="baseline"/>
      <w:cs w:val="0"/>
      <w:em w:val="none"/>
      <w:lang/>
    </w:rPr>
  </w:style>
  <w:style w:type="paragraph" w:styleId="Textkörper">
    <w:name w:val="Textkörper"/>
    <w:basedOn w:val="Standard"/>
    <w:next w:val="Textkörper"/>
    <w:autoRedefine w:val="0"/>
    <w:hidden w:val="0"/>
    <w:qFormat w:val="0"/>
    <w:pPr>
      <w:suppressAutoHyphens w:val="1"/>
      <w:spacing w:line="360" w:lineRule="auto"/>
      <w:ind w:leftChars="-1" w:rightChars="0" w:firstLineChars="-1"/>
      <w:jc w:val="both"/>
      <w:textDirection w:val="btLr"/>
      <w:textAlignment w:val="top"/>
      <w:outlineLvl w:val="0"/>
    </w:pPr>
    <w:rPr>
      <w:rFonts w:ascii="Arial" w:hAnsi="Arial"/>
      <w:w w:val="100"/>
      <w:position w:val="-1"/>
      <w:effect w:val="none"/>
      <w:vertAlign w:val="baseline"/>
      <w:cs w:val="0"/>
      <w:em w:val="none"/>
      <w:lang w:bidi="ar-SA" w:eastAsia="de-DE" w:val="de-DE"/>
    </w:rPr>
  </w:style>
  <w:style w:type="paragraph" w:styleId="Textkörper2">
    <w:name w:val="Textkörper 2"/>
    <w:basedOn w:val="Standard"/>
    <w:next w:val="Textkörper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de-DE" w:val="de-DE"/>
    </w:rPr>
  </w:style>
  <w:style w:type="paragraph" w:styleId="Sprechblasentext">
    <w:name w:val="Sprechblasentext"/>
    <w:basedOn w:val="Standard"/>
    <w:next w:val="Sprechblase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de-DE" w:val="de-DE"/>
    </w:rPr>
  </w:style>
  <w:style w:type="character" w:styleId="KopfzeileZchn">
    <w:name w:val="Kopfzeile Zchn"/>
    <w:basedOn w:val="Absatz-Standardschriftart"/>
    <w:next w:val="KopfzeileZchn"/>
    <w:autoRedefine w:val="0"/>
    <w:hidden w:val="0"/>
    <w:qFormat w:val="0"/>
    <w:rPr>
      <w:w w:val="100"/>
      <w:position w:val="-1"/>
      <w:effect w:val="none"/>
      <w:vertAlign w:val="baseline"/>
      <w:cs w:val="0"/>
      <w:em w:val="none"/>
      <w:lang/>
    </w:rPr>
  </w:style>
  <w:style w:type="paragraph" w:styleId="Listenabsatz">
    <w:name w:val="Listenabsatz"/>
    <w:basedOn w:val="Standard"/>
    <w:next w:val="Listenabsatz"/>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de-DE"/>
    </w:rPr>
  </w:style>
  <w:style w:type="character" w:styleId="plainlinks-print">
    <w:name w:val="plainlinks-print"/>
    <w:basedOn w:val="Absatz-Standardschriftart"/>
    <w:next w:val="plainlinks-print"/>
    <w:autoRedefine w:val="0"/>
    <w:hidden w:val="0"/>
    <w:qFormat w:val="0"/>
    <w:rPr>
      <w:w w:val="100"/>
      <w:position w:val="-1"/>
      <w:effect w:val="none"/>
      <w:vertAlign w:val="baseline"/>
      <w:cs w:val="0"/>
      <w:em w:val="none"/>
      <w:lang/>
    </w:rPr>
  </w:style>
  <w:style w:type="character" w:styleId="Fett">
    <w:name w:val="Fett"/>
    <w:next w:val="Fett"/>
    <w:autoRedefine w:val="0"/>
    <w:hidden w:val="0"/>
    <w:qFormat w:val="0"/>
    <w:rPr>
      <w:b w:val="1"/>
      <w:bCs w:val="1"/>
      <w:w w:val="100"/>
      <w:position w:val="-1"/>
      <w:effect w:val="none"/>
      <w:vertAlign w:val="baseline"/>
      <w:cs w:val="0"/>
      <w:em w:val="none"/>
      <w:lang/>
    </w:rPr>
  </w:style>
  <w:style w:type="paragraph" w:styleId="Standard(Web)">
    <w:name w:val="Standard (Web)"/>
    <w:basedOn w:val="Standard"/>
    <w:next w:val="Standard(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e-DE" w:val="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cI/Stg8K8ER/j9Qj1h1VUltyw==">AMUW2mX5K32H4+jibcB6vPle7PmTVpj6SixYga8mXWNh4pO4GVaLYUfJWCl1449wykxAx0NRsa9yrnjw8jJjpbpVwBlS1xEwksiHLNakbBm0gas+HG863Tw=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2022-04-26T10:11:00Z</dcterms:created>
  <dc:creator>BRADY GmbH SETON Division</dc:creator>
</cp:coreProperties>
</file>